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3254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b65e897d.B" w:hAnsi="AdvOTb65e897d.B" w:cs="AdvOTb65e897d.B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>Supplementary Materials</w:t>
      </w:r>
    </w:p>
    <w:p w14:paraId="6C43B22E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S1: </w:t>
      </w:r>
      <w:r>
        <w:rPr>
          <w:rFonts w:ascii="AdvOT1ef757c0" w:hAnsi="AdvOT1ef757c0" w:cs="AdvOT1ef757c0"/>
          <w:kern w:val="0"/>
          <w:sz w:val="20"/>
          <w:szCs w:val="20"/>
        </w:rPr>
        <w:t>Compounds in Wendan decoction (WDD) from Traditional Chinese Medicine Systems Pharmacology Database</w:t>
      </w:r>
    </w:p>
    <w:p w14:paraId="7C177DAD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1ef757c0" w:hAnsi="AdvOT1ef757c0" w:cs="AdvOT1ef757c0"/>
          <w:kern w:val="0"/>
          <w:sz w:val="20"/>
          <w:szCs w:val="20"/>
        </w:rPr>
        <w:t>and Analysis Platform (TCMSP)</w:t>
      </w:r>
    </w:p>
    <w:p w14:paraId="2C3D5680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S2: </w:t>
      </w:r>
      <w:r>
        <w:rPr>
          <w:rFonts w:ascii="AdvOT1ef757c0" w:hAnsi="AdvOT1ef757c0" w:cs="AdvOT1ef757c0"/>
          <w:kern w:val="0"/>
          <w:sz w:val="20"/>
          <w:szCs w:val="20"/>
        </w:rPr>
        <w:t>Corresponding target genes of the active compounds</w:t>
      </w:r>
    </w:p>
    <w:p w14:paraId="482C41B1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S3: </w:t>
      </w:r>
      <w:r>
        <w:rPr>
          <w:rFonts w:ascii="AdvOT1ef757c0" w:hAnsi="AdvOT1ef757c0" w:cs="AdvOT1ef757c0"/>
          <w:kern w:val="0"/>
          <w:sz w:val="20"/>
          <w:szCs w:val="20"/>
        </w:rPr>
        <w:t>Corresponding gene symbols of the active compounds</w:t>
      </w:r>
    </w:p>
    <w:p w14:paraId="64E1114B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S4: </w:t>
      </w:r>
      <w:r>
        <w:rPr>
          <w:rFonts w:ascii="AdvOT1ef757c0" w:hAnsi="AdvOT1ef757c0" w:cs="AdvOT1ef757c0"/>
          <w:kern w:val="0"/>
          <w:sz w:val="20"/>
          <w:szCs w:val="20"/>
        </w:rPr>
        <w:t>Active target genes of the active compounds in Wendan decoction (WDD)</w:t>
      </w:r>
    </w:p>
    <w:p w14:paraId="29615CF7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S5: </w:t>
      </w:r>
      <w:r>
        <w:rPr>
          <w:rFonts w:ascii="AdvOT1ef757c0" w:hAnsi="AdvOT1ef757c0" w:cs="AdvOT1ef757c0"/>
          <w:kern w:val="0"/>
          <w:sz w:val="20"/>
          <w:szCs w:val="20"/>
        </w:rPr>
        <w:t>Genes related to sudden deafness (SD).</w:t>
      </w:r>
    </w:p>
    <w:p w14:paraId="173826BB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S6: </w:t>
      </w:r>
      <w:r>
        <w:rPr>
          <w:rFonts w:ascii="AdvOT1ef757c0" w:hAnsi="AdvOT1ef757c0" w:cs="AdvOT1ef757c0"/>
          <w:kern w:val="0"/>
          <w:sz w:val="20"/>
          <w:szCs w:val="20"/>
        </w:rPr>
        <w:t>Analysis of Gene Ontology (GO) functional enrichments</w:t>
      </w:r>
    </w:p>
    <w:p w14:paraId="603293D9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S7: </w:t>
      </w:r>
      <w:r>
        <w:rPr>
          <w:rFonts w:ascii="AdvOT1ef757c0" w:hAnsi="AdvOT1ef757c0" w:cs="AdvOT1ef757c0"/>
          <w:kern w:val="0"/>
          <w:sz w:val="20"/>
          <w:szCs w:val="20"/>
        </w:rPr>
        <w:t>Analysis of Kyoto Encyclopedia of Genes and Genomes (KEGG) pathway enrichments</w:t>
      </w:r>
    </w:p>
    <w:p w14:paraId="0F5EC35A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S8: </w:t>
      </w:r>
      <w:r>
        <w:rPr>
          <w:rFonts w:ascii="AdvOT1ef757c0" w:hAnsi="AdvOT1ef757c0" w:cs="AdvOT1ef757c0"/>
          <w:kern w:val="0"/>
          <w:sz w:val="20"/>
          <w:szCs w:val="20"/>
        </w:rPr>
        <w:t>The compound-target network</w:t>
      </w:r>
    </w:p>
    <w:p w14:paraId="41790D2A" w14:textId="77777777" w:rsidR="009F21EF" w:rsidRDefault="009F21EF" w:rsidP="009F21EF">
      <w:pPr>
        <w:autoSpaceDE w:val="0"/>
        <w:autoSpaceDN w:val="0"/>
        <w:adjustRightInd w:val="0"/>
        <w:jc w:val="left"/>
        <w:rPr>
          <w:rFonts w:ascii="AdvOT1ef757c0" w:hAnsi="AdvOT1ef757c0" w:cs="AdvOT1ef757c0"/>
          <w:kern w:val="0"/>
          <w:sz w:val="20"/>
          <w:szCs w:val="20"/>
        </w:rPr>
      </w:pPr>
      <w:r>
        <w:rPr>
          <w:rFonts w:ascii="AdvOTb65e897d.B" w:hAnsi="AdvOTb65e897d.B" w:cs="AdvOTb65e897d.B"/>
          <w:kern w:val="0"/>
          <w:sz w:val="20"/>
          <w:szCs w:val="20"/>
        </w:rPr>
        <w:t xml:space="preserve">TABLE S9: </w:t>
      </w:r>
      <w:r>
        <w:rPr>
          <w:rFonts w:ascii="AdvOT1ef757c0" w:hAnsi="AdvOT1ef757c0" w:cs="AdvOT1ef757c0"/>
          <w:kern w:val="0"/>
          <w:sz w:val="20"/>
          <w:szCs w:val="20"/>
        </w:rPr>
        <w:t>The protein-protein interaction (PPI) network</w:t>
      </w:r>
    </w:p>
    <w:p w14:paraId="4A81CD50" w14:textId="5BFAEA4F" w:rsidR="0056035B" w:rsidRDefault="009F21EF" w:rsidP="009F21EF">
      <w:r>
        <w:rPr>
          <w:rFonts w:ascii="AdvOTb65e897d.B" w:hAnsi="AdvOTb65e897d.B" w:cs="AdvOTb65e897d.B"/>
          <w:kern w:val="0"/>
          <w:sz w:val="20"/>
          <w:szCs w:val="20"/>
        </w:rPr>
        <w:t xml:space="preserve">TABLE S10: </w:t>
      </w:r>
      <w:r>
        <w:rPr>
          <w:rFonts w:ascii="AdvOT1ef757c0" w:hAnsi="AdvOT1ef757c0" w:cs="AdvOT1ef757c0"/>
          <w:kern w:val="0"/>
          <w:sz w:val="20"/>
          <w:szCs w:val="20"/>
        </w:rPr>
        <w:t>The key compound-target network</w:t>
      </w:r>
    </w:p>
    <w:sectPr w:rsidR="00560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vOTb65e897d.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1ef757c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A83"/>
    <w:rsid w:val="0056035B"/>
    <w:rsid w:val="009F21EF"/>
    <w:rsid w:val="00AD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CE02B6-8397-4362-9B02-C32E2126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Zillah Zillah</dc:creator>
  <cp:keywords/>
  <dc:description/>
  <cp:lastModifiedBy>Zillah Zillah</cp:lastModifiedBy>
  <cp:revision>2</cp:revision>
  <dcterms:created xsi:type="dcterms:W3CDTF">2023-09-06T03:21:00Z</dcterms:created>
  <dcterms:modified xsi:type="dcterms:W3CDTF">2023-09-06T03:21:00Z</dcterms:modified>
</cp:coreProperties>
</file>